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13 228 vom 14. Juni 2013</w:t>
      </w:r>
    </w:p>
    <w:p>
      <w:r>
        <w:t>VS Kantonsgericht, 2013-06-14, FR</w:t>
      </w:r>
    </w:p>
    <w:p>
      <w:r>
        <w:rPr>
          <w:b/>
        </w:rPr>
        <w:t xml:space="preserve">Quelle: </w:t>
      </w:r>
      <w:r>
        <w:t>https://mcp.opencaselaw.ch/entscheid/vs_gerichte_A1 13 228</w:t>
      </w:r>
    </w:p>
    <w:p>
      <w:r>
        <w:t>FR: VS_GERICHTE A1 13 228 du 14 juin 2013</w:t>
      </w:r>
    </w:p>
    <w:p>
      <w:r>
        <w:t>IT: VS_GERICHTE A1 13 228 del 14 giugno 2013</w:t>
      </w:r>
    </w:p>
    <w:p>
      <w:pPr>
        <w:pStyle w:val="Heading2"/>
      </w:pPr>
      <w:r>
        <w:t>Regeste</w:t>
      </w:r>
    </w:p>
    <w:p>
      <w:r>
        <w:t>A1 13 228 ARRÊT DU 14 JUIN 2013 Tribunal cantonal du Valais Cour de droit public Composition : Jean-Pierre Zufferey, président ; Jean-Bernard Fournier et Thomas Brunner, juges ; Ferdinand Vanay, greffier en la cause X_________, recourante, représentée par Maître A_________ contre ADMINISTRATION COMMUNALE DE B_________, autorité attaquée, et Y_________ (marché public, réaménagement des Bains de C_________, installation de chauffage) recours de droit administratif contre la décision du 27 février 2013</w:t>
      </w:r>
    </w:p>
    <w:p>
      <w:pPr>
        <w:pStyle w:val="Heading2"/>
      </w:pPr>
      <w:r>
        <w:t>Erwägungen</w:t>
      </w:r>
    </w:p>
    <w:p>
      <w:r>
        <w:rPr>
          <w:b/>
        </w:rPr>
        <w:t>E. 2</w:t>
      </w:r>
    </w:p>
    <w:p>
      <w:r>
        <w:t>Dans ce contentieux, la Cour s’en tient aux griefs que la recourante a motivés dans les formes prescrites par la loi (art. 80 al. 1 let. c et 48 al. 1 LPJA) et ne statue que sur la légalité de la décision contestée, non sur son opportunité (art. 16 AIMP et 16 Lmp). 3.1 A titre de moyen de preuve, la recourante propose d’interroger les parties. Elle fait en cela usage d'un droit que la loi lui reconnaît (art. 80 al. 1 let. d, 56 al. 1 et 17 al. 2 LPJA). Celui-ci est une composante du droit d'être entendu que garantit l'article 29 alinéa 2 de la Constitution fédérale du 18 avril 1999 (Cst. ; RS 101), mais il n'est pas absolu. La prise en considération de moyens de preuve suppose que ceux-ci apparais- 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130 II 425 consid. 2.1 p. 428 s. et la jurisprudence citée ; RVJ 2009 p. 49, consid. 3b).</w:t>
      </w:r>
    </w:p>
    <w:p>
      <w:r>
        <w:t>- 5 - 3.2 Les pièces au dossier – comprenant notamment les documents d’appel d’offres, l’offre de la recourante, celle de l’adjudicataire, ainsi que les résultats de l’évaluation – permettent de trancher l’affaire à la lumière des faits pertinents. Partant, il ne se justifie pas d’interroger les parties qui, au demeurant, ont toutes eu l’occasion d’exprimer par écrit leur point de vue. 4.1 Selon l’article 19 Omp, les offres sont examinées sur le plan technique et comptable d'après des critères uniformes. Des tiers peuvent être nommés comme experts (al. 1). Des erreurs évidentes, telles que des erreurs de calcul et d'écriture, sont corrigées (al. 2). 4.2 A l’examen des postes figurant dans l’offre de l’entreprise Y_________, on peut constater, d’une part, qu’un montant de 10 520 fr. (poste 259, total des Divers) a été comptabilisé par erreur à deux reprises. D’autre part, une erreur de 71 fr. dans l’addition des prix des accessoires pour l’installation de ventilation a aussi été mise en évidence et se reporte sur le total du prix de cette installation (poste 244). Cela permet d’expliquer pourquoi le montant de l’offre de l’adjudicataire au moment de l’ouverture des offres était de 10 591 fr. supérieur à la réalité. Le pouvoir adjudicateur a procédé à juste titre aux contrôle et rectifications nécessaires. Partant, en tablant sur un montant de l’offre de Y_________ à 353 907 fr., l’évaluation a été faite de manière régulière. 5.1 Citant l’article 23 alinéa 1 lettre k Omp, la recourante soutient que l’adjudicataire aurait dû être exclu du marché parce que ses administrateurs avaient été impliqués dans l’élaboration des documents de l’appel d’offres, qu’ils avaient ainsi eu l’avantage de connaître l’ensemble du dossier avant même qu’il ne soit publié en vue d’une adjudication et qu’ils avaient pu favoriser leur entreprise. Puisque cette exclusion n’a pas été prononcée, elle affirme que la décision d’adjudication contrevient aux principes de l’égalité de traitement et de la concurrence efficace. La commune de B_________ nie l’existence d’avantages dont aurait pu profiter le candidat choisi. 5.2 Selon la disposition précitée, un soumissionnaire est exclu de la procédure s'il a accompli, dans le cadre du même projet, un ou plusieurs mandats d'études ou de direction des travaux et lorsque ces prestations le mettent au bénéfice, pour l'offre en cours, de connaissances et d'informations privilégiées faussant l'égalité des chances. La législation sur les marchés publics a en effet pour but notamment de garantir l'égalité de traitement à tous les soumissionnaires et d'assurer l'impartialité de l'adjudication (art. 1 al. 3 let. b AIMP). Le respect de ces principes est en cause dans le cas du soumissionnaire dit « préimpliqué », c'est-à-dire de celui qui participe à la procédure de soumission et présente une offre alors qu'il a collaboré à l'élaboration de l'appel d'offres (cf. arrêt du Tribunal fédéral 2P.164/2004 du 25 janvier 2005 consid. 3.1). Les directives pour l'exécution de l’AIMP prévoient d’ailleurs, sous § 8 (p. 3), que les personnes et entreprises qui participent à la préparation des documents d'appel d'offres ou aux procédures de passation des marchés publics de manière à pouvoir influencer l'adjudication en leur faveur, ne peuvent présenter d'offre. L’exclusion est donc en principe de mise lorsqu'une entreprise a élaboré elle-même le cahier des charges relatif aux travaux mis en soumission (cf. ACDP A1 04 6 du 1er avril 2004 consid. 4b ; jurisprudence publiée in BR/DC 2/2011 S4 p. 106 ; arrêt du Tribunal</w:t>
      </w:r>
    </w:p>
    <w:p>
      <w:r>
        <w:t>- 6 - cantonal vaudois MPU.2012.0003 du 16 mai 2012, consid. 2b ; J.-B. Zufferey/C. Maillard/N. Michel, Droit des marchés</w:t>
      </w:r>
    </w:p>
    <w:p>
      <w:r>
        <w:t>publics, p. 102), mais non si la collaboration n'avait que peu d'importance et ne consistait, par exemple, qu'en une aide technique de définition ou des renseignements ou conseils isolés à l'adjudicateur (cf. ACDP A1 12 68 du 25 juillet 2012 consid. 3b ; arrêt 2P.164/2004 précité consid. 3.3 et les références, cité in ATAF B-7571/2009 du 20 avril 2011 cons. 4.7 ; P. Gauch/H. Stöckli, Thèses sur le nouveau droit fédéral des marchés publics, p.14 ss, ch. 8.2 et 8.3). Comme on le voit, pour l'appréciation du cas, l'intensité ou la nature de la collaboration du soumissionnaire dans la préparation de la procédure de soumission joue un certain rôle, tout comme les mesures correctives éventuellement décidées par l’adjudicateur afin de garantir l’égalité entre concurrents et la question de savoir si la préimplication est de nature à permettre au candidat en question d’influer sur le résultat de l’adjudica- tion en favorisant sa position (cf. jurisprudence publiée in BR/DC 4/2011 S107 p. 253). Dans ce cadre, il faut aussi relever que si toute participation à la préparation de la sou- mission, quels que soient son genre et son intensité, devait conduire à une exclusion subséquente, les entreprises disposant de départements spécialisés ne seraient plus guère disposées à entrer dans une quelconque collaboration lors de la phase prépara- toire d'un appel d'offres, ce qui irait à l'encontre d'une utilisation économique des fonds publics, en particulier dans les mandats complexes (cf. P. Galli/A. Moser/E. Lang/ E. Clerc, Praxis des öffentlichen Beschaffungsrechts, vol. 1, 2e éd., p. 298 ss, spéc. nos 3 et p. 300 ss ; RJN 2011 p. 386 s., consid. 8 ; ACDP A1 04 7 du 24 mai 2004 consid. 5.4 et 5.5). Il incombe à l'adjudicateur de vérifier si un soumissionnaire bénéficie d'informations privilégiées et, le cas échéant, au soumissionnaire visé d'éta- blir que sa collaboration préalable ne lui a pas procuré d'avantage concurrentiel (cf. arrêt 2P.164/2004 précité consid. 3.3). 5.3 Selon le document d’appel d’offres relatif à la construction des Bains de C_________, la société F_________ est mentionnée sous la rubrique « Organisation du maître de l’ouvrage » (ch. 3.1 p. 8) en tant que responsable des études CV (chauffage, ventilation) et des études S (sanitaires). Cela signifie que c’est elle qui a élaboré le cahier des charges pour ce qui concerne les installations de chauffage et de ventilation, ainsi que pour les installations sanitaires. Il faut donc admettre que cette société a participé de manière active et prépondérante à l’établissement de l’appel d’offres. Elle a de plus procédé aux comparatifs des soumissions du 19 février 2013 (cf. pièce n° 2 du dossier déposé par la commune). Or, les pièces déposées par la recourante, en particulier les extraits de registre du commerce, montrent les liens qui existent entre les dirigeants de F_________ et l’adjudicataire Y_________. H__________, J___________ et I_________ sont tous trois administrateurs ou associés de ces personnes morales. Ils font partie du Conseil d’administration de G_________ qui regroupe sous la même enseigne notamment ces deux entreprises actives dans le domaine de la construction. H_________ est directeur du groupe et de l’entreprise K_________; J_________ est directeur de Y_________ et associé chez F_________; I_________ est directeur de F_________ et administrateur de Y_________.</w:t>
      </w:r>
    </w:p>
    <w:p>
      <w:r>
        <w:t>- 7 - La commune de B_________ signale que ces sociétés sont des entités juridiquement indépendantes. Cela n’est cependant pas décisif pour écarter tout risque de préimplication du moment que les personnes qui dirigent ces entreprises sont les mêmes. Elle ajoute qu’il n’est pas possible d’exclure un soumissionnaire sans que la preuve d’un avantage concurrentiel ne soit apportée. En l’occurrence, l’élaboration du cahier des charges du CFC 24 par F_________ est susceptible de donner un avantage sérieux à l’entreprise Y_________. Il s’agit en effet d’une opération essentielle de l’élaboration de l’appel d’offres, au cours de laquelle F_________, bureau spécialisé dans le conseil énergétique et les études CVS, était en mesure de favoriser sa société sœur. Il n’est pas nécessaire de démontrer, dans ce cadre, qu’il y a effectivement eu intention de favoriser tel ou tel candidat. Une preuve de ce type serait d’ailleurs très difficile à apporter. L’existence d’un risque concret fondé sur les liens étroits unissant les entreprises F_________ à Y_________ est suffisante. L’adjudicataire ne s’étant au surplus pas exprimée, il convient de s’en tenir à cette apparence. La commune de B_________ affirme que le mandat concerne des travaux ordinaires sans difficultés techniques particulières, si bien qu’il n’était pas possible de favoriser l’adjudicataire, avis que ne partage pas la recourante, pour qui les travaux sont complexes et pouvaient être menés de plusieurs manières. A l’examen de la liste des équipements qui tient sur plus de 40 pages, la Cour ne peut dénier à tout le moins une certaine complexité aux travaux mis en soumission. L’argument évoqué par la commune appa- raît ainsi peu convaincant. Sous un autre angle, il faut aussi admettre que l’adjudica- taire disposait d’une longueur d’avance sur ses concurrents puisqu’elle devait avoir connaissance, par le biais de ses dirigeants, du cahier des charges qu’avait élaboré F_________. Enfin, le mandat à adjuger n’est pas spécial au point que l’exclusion de la société Y_________ remettrait en cause l’attribution du marché ; le nombre d’offres déposées montre au contraire qu'il était tout à fait possible à l'autorité d'adjudication de faire appel à d'autres entreprises que celle de l'adjudicataire pour la réalisation du CFC 24. 5.4 Dans ces conditions, il faut admettre que la société Y_________ bénéficiait d’une position et/ou d’informations privilégiées dans le cadre de l’attribution du marché en cause. L'égalité des chances entre concurrents se trouvait ainsi compromise, ce qui devait conduire à l’exclusion de ce candidat, conformément à l’article 23 alinéa 1 lettre k Omp. 6.1 Attendu ce qui précède, le recours est admis, la décision attaquée est annulée et l'affaire renvoyée à la commune de B_________ pour nouveau prononcé d'adjudication dans le sens du considérant 5.4 (art. 18 al. 1 AIMP ; art. 80 al. 1 let. e et 60 al. 1 LPJA). La demande d'effet suspensif est classée. 6.2 Les frais sont remis (art. 89 al. 4 LPJA). La recourante, qui obtient gain de cause et a pris une conclusion en ce sens, a droit à une indemnité de dépens (art. 91 al. 1 LPJA), à la charge de la commune de B_________. Eu égard aux critères et limites des articles 27 alinéa 1 et 39 de la loi du 11 février 2009 fixant le tarif des frais et dépens devant les autorités judiciaires ou administratives (LTar ; RS/VS 173.8), cette indemnité est fixée à 1’800 fr.</w:t>
      </w:r>
    </w:p>
    <w:p>
      <w:r>
        <w:t>- 8 -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